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hd w:fill="ffffff" w:val="clear"/>
        <w:spacing w:after="380" w:lineRule="auto"/>
        <w:jc w:val="both"/>
        <w:rPr>
          <w:rFonts w:ascii="Calibri" w:cs="Calibri" w:eastAsia="Calibri" w:hAnsi="Calibri"/>
          <w:b w:val="1"/>
          <w:color w:val="333333"/>
          <w:u w:val="single"/>
        </w:rPr>
      </w:pPr>
      <w:r w:rsidDel="00000000" w:rsidR="00000000" w:rsidRPr="00000000">
        <w:rPr>
          <w:rFonts w:ascii="Calibri" w:cs="Calibri" w:eastAsia="Calibri" w:hAnsi="Calibri"/>
          <w:b w:val="1"/>
          <w:color w:val="333333"/>
          <w:u w:val="single"/>
          <w:rtl w:val="0"/>
        </w:rPr>
        <w:t xml:space="preserve">CAS CLÍNIC LEUCEMIA </w:t>
      </w:r>
    </w:p>
    <w:p w:rsidR="00000000" w:rsidDel="00000000" w:rsidP="00000000" w:rsidRDefault="00000000" w:rsidRPr="00000000" w14:paraId="00000002">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El càncer infantil té cada vegada més importància a l’àmbit de la pediatria, entre altres coses per ser la segona causa de mortalitat durant la infantesa darrere dels accidents. </w:t>
      </w:r>
    </w:p>
    <w:p w:rsidR="00000000" w:rsidDel="00000000" w:rsidP="00000000" w:rsidRDefault="00000000" w:rsidRPr="00000000" w14:paraId="00000003">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Els símptomes poden incloure febre o suors nocturnes, aparició de morats o petèquies i pèrdua de pes o gana. </w:t>
      </w:r>
    </w:p>
    <w:p w:rsidR="00000000" w:rsidDel="00000000" w:rsidP="00000000" w:rsidRDefault="00000000" w:rsidRPr="00000000" w14:paraId="00000004">
      <w:pPr>
        <w:numPr>
          <w:ilvl w:val="0"/>
          <w:numId w:val="1"/>
        </w:numPr>
        <w:shd w:fill="ffffff" w:val="clear"/>
        <w:spacing w:after="380" w:lineRule="auto"/>
        <w:ind w:left="720" w:hanging="360"/>
        <w:jc w:val="both"/>
        <w:rPr>
          <w:rFonts w:ascii="Calibri" w:cs="Calibri" w:eastAsia="Calibri" w:hAnsi="Calibri"/>
          <w:b w:val="1"/>
          <w:color w:val="333333"/>
        </w:rPr>
      </w:pPr>
      <w:r w:rsidDel="00000000" w:rsidR="00000000" w:rsidRPr="00000000">
        <w:rPr>
          <w:rFonts w:ascii="Calibri" w:cs="Calibri" w:eastAsia="Calibri" w:hAnsi="Calibri"/>
          <w:b w:val="1"/>
          <w:color w:val="333333"/>
          <w:rtl w:val="0"/>
        </w:rPr>
        <w:t xml:space="preserve">Què són les petèquies? </w:t>
      </w:r>
    </w:p>
    <w:tbl>
      <w:tblPr>
        <w:tblStyle w:val="Table1"/>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08">
      <w:pPr>
        <w:shd w:fill="ffffff" w:val="clear"/>
        <w:spacing w:after="380" w:lineRule="auto"/>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09">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Sovint, el tractament de la leucèmia infantil té èxit encara que els tractament poden deixar seqüeles en el mateix moment o que es manifestin més endavant. </w:t>
      </w:r>
    </w:p>
    <w:p w:rsidR="00000000" w:rsidDel="00000000" w:rsidP="00000000" w:rsidRDefault="00000000" w:rsidRPr="00000000" w14:paraId="0000000A">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Aquest cas una nena de 9 anys ve al servei d’urgències de pediatria per un quadre de febre intermitent d’1 mes d’evolució. de màxim 38,5ºCa acompanyat de cansament, mareig i orèxia disminuida més marcada els darrers 5-6 dies. Afebril des de fa 3 dies. </w:t>
      </w:r>
    </w:p>
    <w:p w:rsidR="00000000" w:rsidDel="00000000" w:rsidP="00000000" w:rsidRDefault="00000000" w:rsidRPr="00000000" w14:paraId="0000000B">
      <w:pPr>
        <w:numPr>
          <w:ilvl w:val="0"/>
          <w:numId w:val="1"/>
        </w:numPr>
        <w:shd w:fill="ffffff" w:val="clear"/>
        <w:spacing w:after="380" w:lineRule="auto"/>
        <w:ind w:left="720" w:hanging="360"/>
        <w:jc w:val="both"/>
        <w:rPr>
          <w:rFonts w:ascii="Calibri" w:cs="Calibri" w:eastAsia="Calibri" w:hAnsi="Calibri"/>
          <w:b w:val="1"/>
          <w:color w:val="333333"/>
        </w:rPr>
      </w:pPr>
      <w:r w:rsidDel="00000000" w:rsidR="00000000" w:rsidRPr="00000000">
        <w:rPr>
          <w:rFonts w:ascii="Calibri" w:cs="Calibri" w:eastAsia="Calibri" w:hAnsi="Calibri"/>
          <w:b w:val="1"/>
          <w:color w:val="333333"/>
          <w:rtl w:val="0"/>
        </w:rPr>
        <w:t xml:space="preserve">Què és la orèxia? </w:t>
      </w:r>
    </w:p>
    <w:tbl>
      <w:tblPr>
        <w:tblStyle w:val="Table2"/>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0E">
      <w:pPr>
        <w:shd w:fill="ffffff" w:val="clear"/>
        <w:spacing w:after="380" w:lineRule="auto"/>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0F">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La nena refereix cefalea, que alguna vegada l’ha despertat per la nit, amb bona resposta a l’analgèsia. No vòmits. Refereix facilitat per l’aparició hematomes i aparició de taques vermelloses a les extremitats inferiors. </w:t>
      </w:r>
    </w:p>
    <w:p w:rsidR="00000000" w:rsidDel="00000000" w:rsidP="00000000" w:rsidRDefault="00000000" w:rsidRPr="00000000" w14:paraId="00000010">
      <w:pPr>
        <w:numPr>
          <w:ilvl w:val="0"/>
          <w:numId w:val="1"/>
        </w:numPr>
        <w:shd w:fill="ffffff" w:val="clear"/>
        <w:spacing w:after="380" w:lineRule="auto"/>
        <w:ind w:left="720" w:hanging="360"/>
        <w:jc w:val="both"/>
        <w:rPr>
          <w:rFonts w:ascii="Calibri" w:cs="Calibri" w:eastAsia="Calibri" w:hAnsi="Calibri"/>
          <w:b w:val="1"/>
          <w:color w:val="333333"/>
        </w:rPr>
      </w:pPr>
      <w:r w:rsidDel="00000000" w:rsidR="00000000" w:rsidRPr="00000000">
        <w:rPr>
          <w:rFonts w:ascii="Calibri" w:cs="Calibri" w:eastAsia="Calibri" w:hAnsi="Calibri"/>
          <w:b w:val="1"/>
          <w:color w:val="333333"/>
          <w:rtl w:val="0"/>
        </w:rPr>
        <w:t xml:space="preserve">Què vol dir que tingui bona resposta a l’analgèsia? </w:t>
      </w:r>
    </w:p>
    <w:tbl>
      <w:tblPr>
        <w:tblStyle w:val="Table3"/>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13">
      <w:pPr>
        <w:shd w:fill="ffffff" w:val="clear"/>
        <w:spacing w:after="380" w:lineRule="auto"/>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14">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Com a antecedent personal destacar l’existència d’un cosí germà que va morir per leucèmia. </w:t>
      </w:r>
    </w:p>
    <w:p w:rsidR="00000000" w:rsidDel="00000000" w:rsidP="00000000" w:rsidRDefault="00000000" w:rsidRPr="00000000" w14:paraId="00000015">
      <w:pPr>
        <w:numPr>
          <w:ilvl w:val="0"/>
          <w:numId w:val="1"/>
        </w:numPr>
        <w:shd w:fill="ffffff" w:val="clear"/>
        <w:spacing w:after="380" w:lineRule="auto"/>
        <w:ind w:left="720" w:hanging="360"/>
        <w:jc w:val="both"/>
        <w:rPr>
          <w:rFonts w:ascii="Calibri" w:cs="Calibri" w:eastAsia="Calibri" w:hAnsi="Calibri"/>
          <w:b w:val="1"/>
          <w:color w:val="333333"/>
        </w:rPr>
      </w:pPr>
      <w:r w:rsidDel="00000000" w:rsidR="00000000" w:rsidRPr="00000000">
        <w:rPr>
          <w:rFonts w:ascii="Calibri" w:cs="Calibri" w:eastAsia="Calibri" w:hAnsi="Calibri"/>
          <w:b w:val="1"/>
          <w:color w:val="333333"/>
          <w:rtl w:val="0"/>
        </w:rPr>
        <w:t xml:space="preserve">Per què creus que la leucèmia pot causar febre, facilitat per produir morats, pèrdua de gana,.... </w:t>
      </w:r>
    </w:p>
    <w:tbl>
      <w:tblPr>
        <w:tblStyle w:val="Table4"/>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17">
      <w:pPr>
        <w:shd w:fill="ffffff" w:val="clear"/>
        <w:spacing w:after="380" w:lineRule="auto"/>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18">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La primera analítica que se li va fer a la pacient es van obtenir els següents resultats: leucocitos 76.320 (neutrófilos 5600, monocitos 45.230, linfocitos 26.010), Hb4.1 g/dl, Hto 11.87%, plaquetas 13.000. Bioquímica: glucosa 82, urea 21, creatinina 0.6, ácido úrico 4.5, colesterol total 129 (HDL 34, LDL 68), triglicéridos 91, albúmina 4.27, proteínas totales 7.71, bilirrubina total 0.3, bilirrubina directa 0.1, sodio 143, potasio 3.8, cloro 107, hierro 150, ferritina &gt; 1289. Hepático GOT 14, GPT 14, GGT 12, amilasa alfa 30, lipasa 14, IgA 403, IgM 247, IgG 1.613, IgE 542. Marcadores de enfermedad celiaca pendientes. Perfil tiroideo normal. Hemostasia: INR 1.22, AP 74%, TP 16.5.</w:t>
      </w:r>
    </w:p>
    <w:p w:rsidR="00000000" w:rsidDel="00000000" w:rsidP="00000000" w:rsidRDefault="00000000" w:rsidRPr="00000000" w14:paraId="00000019">
      <w:pPr>
        <w:numPr>
          <w:ilvl w:val="0"/>
          <w:numId w:val="1"/>
        </w:numPr>
        <w:shd w:fill="ffffff" w:val="clear"/>
        <w:spacing w:after="380" w:lineRule="auto"/>
        <w:ind w:left="720" w:hanging="360"/>
        <w:jc w:val="both"/>
        <w:rPr>
          <w:rFonts w:ascii="Calibri" w:cs="Calibri" w:eastAsia="Calibri" w:hAnsi="Calibri"/>
          <w:b w:val="1"/>
          <w:color w:val="333333"/>
        </w:rPr>
      </w:pPr>
      <w:r w:rsidDel="00000000" w:rsidR="00000000" w:rsidRPr="00000000">
        <w:rPr>
          <w:rFonts w:ascii="Calibri" w:cs="Calibri" w:eastAsia="Calibri" w:hAnsi="Calibri"/>
          <w:b w:val="1"/>
          <w:color w:val="333333"/>
          <w:rtl w:val="0"/>
        </w:rPr>
        <w:t xml:space="preserve">Quins valors estan alterats? </w:t>
      </w:r>
    </w:p>
    <w:tbl>
      <w:tblPr>
        <w:tblStyle w:val="Table5"/>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1E">
      <w:pPr>
        <w:shd w:fill="ffffff" w:val="clear"/>
        <w:spacing w:after="380" w:lineRule="auto"/>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1F">
      <w:pPr>
        <w:shd w:fill="ffffff" w:val="clear"/>
        <w:spacing w:after="380" w:lineRule="auto"/>
        <w:jc w:val="both"/>
        <w:rPr>
          <w:rFonts w:ascii="Calibri" w:cs="Calibri" w:eastAsia="Calibri" w:hAnsi="Calibri"/>
          <w:b w:val="1"/>
          <w:color w:val="333333"/>
          <w:u w:val="single"/>
        </w:rPr>
      </w:pPr>
      <w:r w:rsidDel="00000000" w:rsidR="00000000" w:rsidRPr="00000000">
        <w:rPr>
          <w:rFonts w:ascii="Calibri" w:cs="Calibri" w:eastAsia="Calibri" w:hAnsi="Calibri"/>
          <w:b w:val="1"/>
          <w:color w:val="333333"/>
          <w:u w:val="single"/>
          <w:rtl w:val="0"/>
        </w:rPr>
        <w:t xml:space="preserve">LA LEUCÈMIA</w:t>
      </w:r>
    </w:p>
    <w:p w:rsidR="00000000" w:rsidDel="00000000" w:rsidP="00000000" w:rsidRDefault="00000000" w:rsidRPr="00000000" w14:paraId="00000020">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La leucèmia representa un 25-30% de les neoplàsies en menors de 14 anys, essent el càncer més freqüent durant la infantesa. Consisteix en la proliferació incontrolada d’una població anòmala de cèl·lules de la sang. Aquestes cèl·lules anòmales infiltren la medul·la òssia, impedint la producció de les restants cèl·lules normals i envaeixen la sang i altres òrgans. </w:t>
      </w:r>
    </w:p>
    <w:p w:rsidR="00000000" w:rsidDel="00000000" w:rsidP="00000000" w:rsidRDefault="00000000" w:rsidRPr="00000000" w14:paraId="00000021">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Més d’un 95% de les leucèmies infantils són agudes, i entre aquestes predomina la leucèmia limfoblàstica aguda, que representa un 80% dels casos front al 20% de les leucèmies mieloides agudes. la leucèmia mieloide crònica i la leucèmia mielomonocítica juvenil completen el grup de les leucèmies pediàtriques. La tasa d’incidència a Espanya és de 4 casos/105 en menors de 14 anys. El pic d’incidència màxim és entre els dos i els cinc anys. Les leucèmies en nens presenten inicialment símptomes inespecífics, pel que és habitual que el diagnòstic es retrassi. </w:t>
      </w:r>
    </w:p>
    <w:p w:rsidR="00000000" w:rsidDel="00000000" w:rsidP="00000000" w:rsidRDefault="00000000" w:rsidRPr="00000000" w14:paraId="00000022">
      <w:pPr>
        <w:numPr>
          <w:ilvl w:val="0"/>
          <w:numId w:val="1"/>
        </w:numPr>
        <w:shd w:fill="ffffff" w:val="clear"/>
        <w:spacing w:after="380" w:lineRule="auto"/>
        <w:ind w:left="720" w:hanging="360"/>
        <w:jc w:val="both"/>
        <w:rPr>
          <w:rFonts w:ascii="Calibri" w:cs="Calibri" w:eastAsia="Calibri" w:hAnsi="Calibri"/>
          <w:b w:val="1"/>
          <w:color w:val="333333"/>
        </w:rPr>
      </w:pPr>
      <w:r w:rsidDel="00000000" w:rsidR="00000000" w:rsidRPr="00000000">
        <w:rPr>
          <w:rFonts w:ascii="Calibri" w:cs="Calibri" w:eastAsia="Calibri" w:hAnsi="Calibri"/>
          <w:b w:val="1"/>
          <w:color w:val="333333"/>
          <w:rtl w:val="0"/>
        </w:rPr>
        <w:t xml:space="preserve">Quina diferència hi ha entre una</w:t>
      </w:r>
      <w:hyperlink r:id="rId6">
        <w:r w:rsidDel="00000000" w:rsidR="00000000" w:rsidRPr="00000000">
          <w:rPr>
            <w:rFonts w:ascii="Calibri" w:cs="Calibri" w:eastAsia="Calibri" w:hAnsi="Calibri"/>
            <w:b w:val="1"/>
            <w:color w:val="1155cc"/>
            <w:u w:val="single"/>
            <w:rtl w:val="0"/>
          </w:rPr>
          <w:t xml:space="preserve"> leucèmia aguda i una crònica</w:t>
        </w:r>
      </w:hyperlink>
      <w:r w:rsidDel="00000000" w:rsidR="00000000" w:rsidRPr="00000000">
        <w:rPr>
          <w:rFonts w:ascii="Calibri" w:cs="Calibri" w:eastAsia="Calibri" w:hAnsi="Calibri"/>
          <w:b w:val="1"/>
          <w:color w:val="333333"/>
          <w:rtl w:val="0"/>
        </w:rPr>
        <w:t xml:space="preserve">? </w:t>
      </w:r>
    </w:p>
    <w:tbl>
      <w:tblPr>
        <w:tblStyle w:val="Table6"/>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24">
      <w:pPr>
        <w:shd w:fill="ffffff" w:val="clear"/>
        <w:spacing w:after="380" w:lineRule="auto"/>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25">
      <w:pPr>
        <w:numPr>
          <w:ilvl w:val="0"/>
          <w:numId w:val="1"/>
        </w:numPr>
        <w:shd w:fill="ffffff" w:val="clear"/>
        <w:spacing w:after="380" w:lineRule="auto"/>
        <w:ind w:left="720" w:hanging="360"/>
        <w:jc w:val="both"/>
        <w:rPr>
          <w:rFonts w:ascii="Calibri" w:cs="Calibri" w:eastAsia="Calibri" w:hAnsi="Calibri"/>
          <w:b w:val="1"/>
          <w:color w:val="333333"/>
        </w:rPr>
      </w:pPr>
      <w:r w:rsidDel="00000000" w:rsidR="00000000" w:rsidRPr="00000000">
        <w:rPr>
          <w:rFonts w:ascii="Calibri" w:cs="Calibri" w:eastAsia="Calibri" w:hAnsi="Calibri"/>
          <w:b w:val="1"/>
          <w:color w:val="333333"/>
          <w:rtl w:val="0"/>
        </w:rPr>
        <w:t xml:space="preserve">Quina diferència hi ha entre la leucèmia mieloide i limfoide? </w:t>
      </w:r>
    </w:p>
    <w:tbl>
      <w:tblPr>
        <w:tblStyle w:val="Table7"/>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28">
      <w:pPr>
        <w:shd w:fill="ffffff" w:val="clear"/>
        <w:spacing w:after="380" w:lineRule="auto"/>
        <w:ind w:left="0" w:firstLine="0"/>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29">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Les troballes típiques són: </w:t>
      </w:r>
    </w:p>
    <w:p w:rsidR="00000000" w:rsidDel="00000000" w:rsidP="00000000" w:rsidRDefault="00000000" w:rsidRPr="00000000" w14:paraId="0000002A">
      <w:pPr>
        <w:numPr>
          <w:ilvl w:val="0"/>
          <w:numId w:val="2"/>
        </w:numPr>
        <w:shd w:fill="ffffff" w:val="clear"/>
        <w:spacing w:after="0" w:afterAutospacing="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Blasts o cèl·lules atípiques en el frotis de sang perifèrica. </w:t>
      </w:r>
    </w:p>
    <w:p w:rsidR="00000000" w:rsidDel="00000000" w:rsidP="00000000" w:rsidRDefault="00000000" w:rsidRPr="00000000" w14:paraId="0000002B">
      <w:pPr>
        <w:numPr>
          <w:ilvl w:val="0"/>
          <w:numId w:val="2"/>
        </w:numPr>
        <w:shd w:fill="ffffff" w:val="clear"/>
        <w:spacing w:after="0" w:afterAutospacing="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Afectades dos o més sèries de l’hemograma a la vegada. </w:t>
      </w:r>
    </w:p>
    <w:p w:rsidR="00000000" w:rsidDel="00000000" w:rsidP="00000000" w:rsidRDefault="00000000" w:rsidRPr="00000000" w14:paraId="0000002C">
      <w:pPr>
        <w:numPr>
          <w:ilvl w:val="0"/>
          <w:numId w:val="2"/>
        </w:numPr>
        <w:shd w:fill="ffffff" w:val="clear"/>
        <w:spacing w:after="0" w:afterAutospacing="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Adenopaties o hepatoesplenomegalia </w:t>
      </w:r>
    </w:p>
    <w:p w:rsidR="00000000" w:rsidDel="00000000" w:rsidP="00000000" w:rsidRDefault="00000000" w:rsidRPr="00000000" w14:paraId="0000002D">
      <w:pPr>
        <w:numPr>
          <w:ilvl w:val="0"/>
          <w:numId w:val="2"/>
        </w:numPr>
        <w:shd w:fill="ffffff" w:val="clear"/>
        <w:spacing w:after="38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Absència de causes infeccioses que expliquen les troballes anteriors. </w:t>
      </w:r>
    </w:p>
    <w:p w:rsidR="00000000" w:rsidDel="00000000" w:rsidP="00000000" w:rsidRDefault="00000000" w:rsidRPr="00000000" w14:paraId="0000002E">
      <w:pPr>
        <w:shd w:fill="ffffff" w:val="clear"/>
        <w:spacing w:after="380" w:lineRule="auto"/>
        <w:ind w:left="720" w:firstLine="0"/>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2F">
      <w:pPr>
        <w:numPr>
          <w:ilvl w:val="0"/>
          <w:numId w:val="1"/>
        </w:numPr>
        <w:shd w:fill="ffffff" w:val="clear"/>
        <w:spacing w:after="380" w:lineRule="auto"/>
        <w:ind w:left="720" w:hanging="360"/>
        <w:jc w:val="both"/>
        <w:rPr>
          <w:rFonts w:ascii="Calibri" w:cs="Calibri" w:eastAsia="Calibri" w:hAnsi="Calibri"/>
          <w:b w:val="1"/>
          <w:color w:val="333333"/>
        </w:rPr>
      </w:pPr>
      <w:r w:rsidDel="00000000" w:rsidR="00000000" w:rsidRPr="00000000">
        <w:rPr>
          <w:rFonts w:ascii="Calibri" w:cs="Calibri" w:eastAsia="Calibri" w:hAnsi="Calibri"/>
          <w:b w:val="1"/>
          <w:color w:val="333333"/>
          <w:rtl w:val="0"/>
        </w:rPr>
        <w:t xml:space="preserve">Fisiologicament perquè creus que un pacient amb leucèmia s’hi poden donar les coses anteriors? </w:t>
      </w:r>
    </w:p>
    <w:tbl>
      <w:tblPr>
        <w:tblStyle w:val="Table8"/>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31">
      <w:pPr>
        <w:shd w:fill="ffffff" w:val="clear"/>
        <w:ind w:left="0" w:firstLine="0"/>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32">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Realitzem hemocultiu si febre, serología, RX de tòrax, ecografia abdominal i TC cranial si clínica neurològica i ECG. </w:t>
      </w:r>
    </w:p>
    <w:p w:rsidR="00000000" w:rsidDel="00000000" w:rsidP="00000000" w:rsidRDefault="00000000" w:rsidRPr="00000000" w14:paraId="00000033">
      <w:pPr>
        <w:numPr>
          <w:ilvl w:val="0"/>
          <w:numId w:val="1"/>
        </w:numPr>
        <w:shd w:fill="ffffff" w:val="clear"/>
        <w:spacing w:after="38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Què es pretén trobar amb cada prova anterior? </w:t>
      </w:r>
    </w:p>
    <w:tbl>
      <w:tblPr>
        <w:tblStyle w:val="Table9"/>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36">
      <w:pPr>
        <w:shd w:fill="ffffff" w:val="clear"/>
        <w:spacing w:after="380" w:lineRule="auto"/>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37">
      <w:pPr>
        <w:shd w:fill="ffffff" w:val="clear"/>
        <w:spacing w:after="380" w:lineRule="auto"/>
        <w:jc w:val="both"/>
        <w:rPr>
          <w:rFonts w:ascii="Calibri" w:cs="Calibri" w:eastAsia="Calibri" w:hAnsi="Calibri"/>
          <w:color w:val="333333"/>
        </w:rPr>
      </w:pPr>
      <w:r w:rsidDel="00000000" w:rsidR="00000000" w:rsidRPr="00000000">
        <w:rPr>
          <w:rFonts w:ascii="Calibri" w:cs="Calibri" w:eastAsia="Calibri" w:hAnsi="Calibri"/>
          <w:color w:val="333333"/>
          <w:rtl w:val="0"/>
        </w:rPr>
        <w:t xml:space="preserve">Els tractament poden incloure: </w:t>
      </w:r>
    </w:p>
    <w:p w:rsidR="00000000" w:rsidDel="00000000" w:rsidP="00000000" w:rsidRDefault="00000000" w:rsidRPr="00000000" w14:paraId="00000038">
      <w:pPr>
        <w:numPr>
          <w:ilvl w:val="0"/>
          <w:numId w:val="3"/>
        </w:numPr>
        <w:shd w:fill="ffffff" w:val="clear"/>
        <w:spacing w:after="0" w:afterAutospacing="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Quimioterapia</w:t>
      </w:r>
    </w:p>
    <w:p w:rsidR="00000000" w:rsidDel="00000000" w:rsidP="00000000" w:rsidRDefault="00000000" w:rsidRPr="00000000" w14:paraId="00000039">
      <w:pPr>
        <w:numPr>
          <w:ilvl w:val="0"/>
          <w:numId w:val="3"/>
        </w:numPr>
        <w:shd w:fill="ffffff" w:val="clear"/>
        <w:spacing w:after="0" w:afterAutospacing="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Radioterapia</w:t>
      </w:r>
    </w:p>
    <w:p w:rsidR="00000000" w:rsidDel="00000000" w:rsidP="00000000" w:rsidRDefault="00000000" w:rsidRPr="00000000" w14:paraId="0000003A">
      <w:pPr>
        <w:numPr>
          <w:ilvl w:val="0"/>
          <w:numId w:val="3"/>
        </w:numPr>
        <w:shd w:fill="ffffff" w:val="clear"/>
        <w:spacing w:after="0" w:afterAutospacing="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Quimioterapia amb trasplantament de cèl·lules mare. </w:t>
      </w:r>
    </w:p>
    <w:p w:rsidR="00000000" w:rsidDel="00000000" w:rsidP="00000000" w:rsidRDefault="00000000" w:rsidRPr="00000000" w14:paraId="0000003B">
      <w:pPr>
        <w:numPr>
          <w:ilvl w:val="0"/>
          <w:numId w:val="3"/>
        </w:numPr>
        <w:shd w:fill="ffffff" w:val="clear"/>
        <w:spacing w:after="38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Terapia dirigida: substàncies que ataquen a les cèl·lules canceroses específiques amb menys dany per a la resta. </w:t>
      </w:r>
    </w:p>
    <w:p w:rsidR="00000000" w:rsidDel="00000000" w:rsidP="00000000" w:rsidRDefault="00000000" w:rsidRPr="00000000" w14:paraId="0000003C">
      <w:pPr>
        <w:shd w:fill="ffffff" w:val="clear"/>
        <w:spacing w:after="380" w:lineRule="auto"/>
        <w:ind w:left="720" w:firstLine="0"/>
        <w:jc w:val="both"/>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3D">
      <w:pPr>
        <w:numPr>
          <w:ilvl w:val="0"/>
          <w:numId w:val="1"/>
        </w:numPr>
        <w:shd w:fill="ffffff" w:val="clear"/>
        <w:spacing w:after="380" w:lineRule="auto"/>
        <w:ind w:left="720" w:hanging="360"/>
        <w:jc w:val="both"/>
        <w:rPr>
          <w:rFonts w:ascii="Calibri" w:cs="Calibri" w:eastAsia="Calibri" w:hAnsi="Calibri"/>
          <w:color w:val="333333"/>
          <w:u w:val="none"/>
        </w:rPr>
      </w:pPr>
      <w:r w:rsidDel="00000000" w:rsidR="00000000" w:rsidRPr="00000000">
        <w:rPr>
          <w:rFonts w:ascii="Calibri" w:cs="Calibri" w:eastAsia="Calibri" w:hAnsi="Calibri"/>
          <w:color w:val="333333"/>
          <w:rtl w:val="0"/>
        </w:rPr>
        <w:t xml:space="preserve">En el cas que el tractament indicat sigui un transplantament de cèl·lules mare, quines són les etapes del tractament? Quines coses s’han de tenir en compte en cada etapa? </w:t>
      </w:r>
    </w:p>
    <w:tbl>
      <w:tblPr>
        <w:tblStyle w:val="Table10"/>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color w:val="333333"/>
              </w:rPr>
            </w:pPr>
            <w:r w:rsidDel="00000000" w:rsidR="00000000" w:rsidRPr="00000000">
              <w:rPr>
                <w:rtl w:val="0"/>
              </w:rPr>
            </w:r>
          </w:p>
        </w:tc>
      </w:tr>
    </w:tbl>
    <w:p w:rsidR="00000000" w:rsidDel="00000000" w:rsidP="00000000" w:rsidRDefault="00000000" w:rsidRPr="00000000" w14:paraId="00000042">
      <w:pPr>
        <w:shd w:fill="ffffff" w:val="clear"/>
        <w:spacing w:after="380" w:lineRule="auto"/>
        <w:jc w:val="both"/>
        <w:rPr>
          <w:rFonts w:ascii="Calibri" w:cs="Calibri" w:eastAsia="Calibri" w:hAnsi="Calibri"/>
          <w:color w:val="333333"/>
        </w:rPr>
      </w:pPr>
      <w:r w:rsidDel="00000000" w:rsidR="00000000" w:rsidRPr="00000000">
        <w:rPr>
          <w:rtl w:val="0"/>
        </w:rPr>
      </w:r>
    </w:p>
    <w:sectPr>
      <w:pgSz w:h="16838" w:w="11906" w:orient="portrait"/>
      <w:pgMar w:bottom="1440.0000000000002" w:top="1440.0000000000002" w:left="1440.0000000000002" w:right="1440.000000000000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rFonts w:ascii="Arial" w:cs="Arial" w:eastAsia="Arial" w:hAnsi="Arial"/>
        <w:color w:val="333333"/>
        <w:sz w:val="27"/>
        <w:szCs w:val="27"/>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4"/>
        <w:szCs w:val="24"/>
        <w:lang w:val="c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line="360" w:lineRule="auto"/>
      <w:ind w:left="360" w:right="-81"/>
      <w:jc w:val="both"/>
    </w:pPr>
    <w:rPr>
      <w:rFonts w:ascii="Arial" w:cs="Arial" w:eastAsia="Arial" w:hAnsi="Arial"/>
      <w:b w:val="1"/>
      <w:sz w:val="32"/>
      <w:szCs w:val="32"/>
    </w:rPr>
  </w:style>
  <w:style w:type="paragraph" w:styleId="Heading2">
    <w:name w:val="heading 2"/>
    <w:basedOn w:val="Normal"/>
    <w:next w:val="Normal"/>
    <w:pPr>
      <w:keepNext w:val="1"/>
      <w:keepLines w:val="1"/>
      <w:spacing w:after="60" w:before="240" w:line="360" w:lineRule="auto"/>
      <w:ind w:firstLine="720"/>
    </w:pPr>
    <w:rPr>
      <w:rFonts w:ascii="Arial" w:cs="Arial" w:eastAsia="Arial" w:hAnsi="Arial"/>
      <w:b w:val="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ind w:right="-81"/>
      <w:jc w:val="both"/>
    </w:pPr>
    <w:rPr>
      <w:rFonts w:ascii="Arial" w:cs="Arial" w:eastAsia="Arial" w:hAnsi="Arial"/>
      <w:b w:val="1"/>
      <w:sz w:val="28"/>
      <w:szCs w:val="28"/>
    </w:rPr>
  </w:style>
  <w:style w:type="paragraph" w:styleId="Subtitle">
    <w:name w:val="Subtitle"/>
    <w:basedOn w:val="Normal"/>
    <w:next w:val="Normal"/>
    <w:pPr>
      <w:keepNext w:val="1"/>
      <w:keepLines w:val="1"/>
      <w:spacing w:after="60" w:before="240" w:lineRule="auto"/>
    </w:pPr>
    <w:rPr>
      <w:rFonts w:ascii="Arial" w:cs="Arial" w:eastAsia="Arial" w:hAnsi="Arial"/>
      <w:b w:val="1"/>
      <w:sz w:val="26"/>
      <w:szCs w:val="26"/>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rochepacientes.es/cancer/leucemia-linfatica-cronica/tipo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