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79" w:rsidRPr="005A0179" w:rsidRDefault="005A0179" w:rsidP="005A0179">
      <w:pPr>
        <w:jc w:val="both"/>
        <w:rPr>
          <w:rFonts w:ascii="Arial" w:hAnsi="Arial" w:cs="Arial"/>
          <w:caps/>
        </w:rPr>
      </w:pPr>
      <w:r w:rsidRPr="005A0179">
        <w:rPr>
          <w:rFonts w:ascii="Arial" w:hAnsi="Arial" w:cs="Arial"/>
          <w:caps/>
        </w:rPr>
        <w:t xml:space="preserve">El paper de l’hemoglobina en l’intercanvi de gasos als teixits </w:t>
      </w:r>
    </w:p>
    <w:p w:rsidR="001A6EE1" w:rsidRDefault="005A0179" w:rsidP="005A0179">
      <w:pPr>
        <w:jc w:val="both"/>
        <w:rPr>
          <w:rFonts w:ascii="Arial" w:hAnsi="Arial" w:cs="Arial"/>
        </w:rPr>
      </w:pPr>
      <w:r w:rsidRPr="005A0179">
        <w:rPr>
          <w:rFonts w:ascii="Arial" w:hAnsi="Arial" w:cs="Arial"/>
        </w:rPr>
        <w:t xml:space="preserve">Un litre de sang conté aproximadament 150 g d’hemoglobina dins dels eritròcits, i cada gram d’hemoglobina és capaç de combinar-se amb 1,34 </w:t>
      </w:r>
      <w:proofErr w:type="spellStart"/>
      <w:r w:rsidRPr="005A0179">
        <w:rPr>
          <w:rFonts w:ascii="Arial" w:hAnsi="Arial" w:cs="Arial"/>
        </w:rPr>
        <w:t>mL</w:t>
      </w:r>
      <w:proofErr w:type="spellEnd"/>
      <w:r w:rsidRPr="005A0179">
        <w:rPr>
          <w:rFonts w:ascii="Arial" w:hAnsi="Arial" w:cs="Arial"/>
        </w:rPr>
        <w:t xml:space="preserve"> d’oxigen</w:t>
      </w:r>
      <w:r>
        <w:rPr>
          <w:rFonts w:ascii="Arial" w:hAnsi="Arial" w:cs="Arial"/>
        </w:rPr>
        <w:t xml:space="preserve"> (tenint en compte que una molè</w:t>
      </w:r>
      <w:r w:rsidRPr="005A0179">
        <w:rPr>
          <w:rFonts w:ascii="Arial" w:hAnsi="Arial" w:cs="Arial"/>
        </w:rPr>
        <w:t xml:space="preserve">cula d’hemoglobina pot combinar 4 molècules de O2). Així, un litre de sang pot transportar uns 200 </w:t>
      </w:r>
      <w:proofErr w:type="spellStart"/>
      <w:r w:rsidRPr="005A0179">
        <w:rPr>
          <w:rFonts w:ascii="Arial" w:hAnsi="Arial" w:cs="Arial"/>
        </w:rPr>
        <w:t>mL</w:t>
      </w:r>
      <w:proofErr w:type="spellEnd"/>
      <w:r w:rsidRPr="005A0179">
        <w:rPr>
          <w:rFonts w:ascii="Arial" w:hAnsi="Arial" w:cs="Arial"/>
        </w:rPr>
        <w:t xml:space="preserve"> d’oxigen, més de vuitanta vegades la quantitat d’oxigen transpor</w:t>
      </w:r>
      <w:r>
        <w:rPr>
          <w:rFonts w:ascii="Arial" w:hAnsi="Arial" w:cs="Arial"/>
        </w:rPr>
        <w:t>table simplement dis</w:t>
      </w:r>
      <w:r w:rsidRPr="005A0179">
        <w:rPr>
          <w:rFonts w:ascii="Arial" w:hAnsi="Arial" w:cs="Arial"/>
        </w:rPr>
        <w:t>solt al plasma sanguini. Aquest O2 és imprescindible perquè les cèl·lules de tot l’organisme puguin fer la respiració cel·lular i, consegüentment, obtenir ener</w:t>
      </w:r>
      <w:r>
        <w:rPr>
          <w:rFonts w:ascii="Arial" w:hAnsi="Arial" w:cs="Arial"/>
        </w:rPr>
        <w:t>gia de l’oxidació de les molècu</w:t>
      </w:r>
      <w:r w:rsidRPr="005A0179">
        <w:rPr>
          <w:rFonts w:ascii="Arial" w:hAnsi="Arial" w:cs="Arial"/>
        </w:rPr>
        <w:t>les orgàniques, sobretot la glucosa i els àcids grassos</w:t>
      </w:r>
    </w:p>
    <w:p w:rsidR="005A0179" w:rsidRDefault="005A0179" w:rsidP="005A0179">
      <w:pPr>
        <w:jc w:val="both"/>
        <w:rPr>
          <w:rFonts w:ascii="Arial" w:hAnsi="Arial" w:cs="Arial"/>
        </w:rPr>
      </w:pPr>
      <w:r>
        <w:rPr>
          <w:noProof/>
          <w:lang w:eastAsia="ca-ES"/>
        </w:rPr>
        <w:drawing>
          <wp:inline distT="0" distB="0" distL="0" distR="0" wp14:anchorId="2DB0A573" wp14:editId="27307E94">
            <wp:extent cx="2590800" cy="424066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47" t="23621" r="51317" b="7609"/>
                    <a:stretch/>
                  </pic:blipFill>
                  <pic:spPr bwMode="auto">
                    <a:xfrm>
                      <a:off x="0" y="0"/>
                      <a:ext cx="2602643" cy="426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a-ES"/>
        </w:rPr>
        <w:drawing>
          <wp:inline distT="0" distB="0" distL="0" distR="0" wp14:anchorId="23EDA22B" wp14:editId="699B911C">
            <wp:extent cx="2510465" cy="2159000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389" t="23829" r="27093" b="40217"/>
                    <a:stretch/>
                  </pic:blipFill>
                  <pic:spPr bwMode="auto">
                    <a:xfrm>
                      <a:off x="0" y="0"/>
                      <a:ext cx="2513743" cy="2161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0179" w:rsidRDefault="005A0179" w:rsidP="005A017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A0179">
        <w:rPr>
          <w:rFonts w:ascii="Arial" w:hAnsi="Arial" w:cs="Arial"/>
        </w:rPr>
        <w:t>El gràfic representa</w:t>
      </w:r>
      <w:r w:rsidRPr="005A0179">
        <w:rPr>
          <w:rFonts w:ascii="Arial" w:hAnsi="Arial" w:cs="Arial"/>
        </w:rPr>
        <w:t xml:space="preserve"> els canvis en la quantitat d’o</w:t>
      </w:r>
      <w:r w:rsidRPr="005A0179">
        <w:rPr>
          <w:rFonts w:ascii="Arial" w:hAnsi="Arial" w:cs="Arial"/>
        </w:rPr>
        <w:t xml:space="preserve">xigen transportat per la </w:t>
      </w:r>
      <w:proofErr w:type="spellStart"/>
      <w:r w:rsidRPr="005A0179">
        <w:rPr>
          <w:rFonts w:ascii="Arial" w:hAnsi="Arial" w:cs="Arial"/>
        </w:rPr>
        <w:t>Hb</w:t>
      </w:r>
      <w:proofErr w:type="spellEnd"/>
      <w:r w:rsidRPr="005A0179">
        <w:rPr>
          <w:rFonts w:ascii="Arial" w:hAnsi="Arial" w:cs="Arial"/>
        </w:rPr>
        <w:t xml:space="preserve"> (la saturació), segons la pressió parc</w:t>
      </w:r>
      <w:r w:rsidRPr="005A0179">
        <w:rPr>
          <w:rFonts w:ascii="Arial" w:hAnsi="Arial" w:cs="Arial"/>
        </w:rPr>
        <w:t>ial de O</w:t>
      </w:r>
      <w:r w:rsidRPr="005A0179">
        <w:rPr>
          <w:rFonts w:ascii="Arial" w:hAnsi="Arial" w:cs="Arial"/>
          <w:vertAlign w:val="subscript"/>
        </w:rPr>
        <w:t>2</w:t>
      </w:r>
      <w:r w:rsidRPr="005A0179">
        <w:rPr>
          <w:rFonts w:ascii="Arial" w:hAnsi="Arial" w:cs="Arial"/>
        </w:rPr>
        <w:t xml:space="preserve"> (mm Hg) al medi. L’es</w:t>
      </w:r>
      <w:r w:rsidRPr="005A0179">
        <w:rPr>
          <w:rFonts w:ascii="Arial" w:hAnsi="Arial" w:cs="Arial"/>
        </w:rPr>
        <w:t>quema mostra com es transporten el O</w:t>
      </w:r>
      <w:r w:rsidRPr="005A0179">
        <w:rPr>
          <w:rFonts w:ascii="Arial" w:hAnsi="Arial" w:cs="Arial"/>
          <w:vertAlign w:val="subscript"/>
        </w:rPr>
        <w:t>2</w:t>
      </w:r>
      <w:r w:rsidRPr="005A0179">
        <w:rPr>
          <w:rFonts w:ascii="Arial" w:hAnsi="Arial" w:cs="Arial"/>
        </w:rPr>
        <w:t xml:space="preserve"> i el CO</w:t>
      </w:r>
      <w:r w:rsidRPr="005A0179">
        <w:rPr>
          <w:rFonts w:ascii="Arial" w:hAnsi="Arial" w:cs="Arial"/>
          <w:vertAlign w:val="subscript"/>
        </w:rPr>
        <w:t>2</w:t>
      </w:r>
      <w:r w:rsidRPr="005A0179">
        <w:rPr>
          <w:rFonts w:ascii="Arial" w:hAnsi="Arial" w:cs="Arial"/>
        </w:rPr>
        <w:t xml:space="preserve"> entre els pulmons i els diferents òrgans, i també les pressions parcials dels dos gasos a cada compartiment. a) Les quantitats de CO</w:t>
      </w:r>
      <w:r w:rsidRPr="005A0179">
        <w:rPr>
          <w:rFonts w:ascii="Arial" w:hAnsi="Arial" w:cs="Arial"/>
          <w:vertAlign w:val="subscript"/>
        </w:rPr>
        <w:t>2</w:t>
      </w:r>
      <w:r w:rsidRPr="005A0179">
        <w:rPr>
          <w:rFonts w:ascii="Arial" w:hAnsi="Arial" w:cs="Arial"/>
        </w:rPr>
        <w:t xml:space="preserve"> indicades a l’esquema són el resultat </w:t>
      </w:r>
      <w:r w:rsidRPr="005A0179">
        <w:rPr>
          <w:rFonts w:ascii="Arial" w:hAnsi="Arial" w:cs="Arial"/>
        </w:rPr>
        <w:t>de l’activitat metabòlica oxida</w:t>
      </w:r>
      <w:r w:rsidRPr="005A0179">
        <w:rPr>
          <w:rFonts w:ascii="Arial" w:hAnsi="Arial" w:cs="Arial"/>
        </w:rPr>
        <w:t>tiva (respiració cel·lular) dels diferents òrgans. Justifica les diferències que s’aprecien entre l’aire inhalat i l’aire exhalat.</w:t>
      </w:r>
    </w:p>
    <w:p w:rsidR="005A0179" w:rsidRDefault="005A0179" w:rsidP="005A017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A0179">
        <w:rPr>
          <w:rFonts w:ascii="Arial" w:hAnsi="Arial" w:cs="Arial"/>
        </w:rPr>
        <w:t>Omple la taula següent calculant, a partir de les pressions parcials de O</w:t>
      </w:r>
      <w:r w:rsidRPr="005A0179">
        <w:rPr>
          <w:rFonts w:ascii="Arial" w:hAnsi="Arial" w:cs="Arial"/>
          <w:vertAlign w:val="subscript"/>
        </w:rPr>
        <w:t>2</w:t>
      </w:r>
      <w:r w:rsidRPr="005A0179">
        <w:rPr>
          <w:rFonts w:ascii="Arial" w:hAnsi="Arial" w:cs="Arial"/>
        </w:rPr>
        <w:t xml:space="preserve"> que s’indiquen en l’esquema, el tant per cent de saturació d’hemoglobina q</w:t>
      </w:r>
      <w:r w:rsidRPr="005A0179">
        <w:rPr>
          <w:rFonts w:ascii="Arial" w:hAnsi="Arial" w:cs="Arial"/>
        </w:rPr>
        <w:t>ue es dóna als diferents compar</w:t>
      </w:r>
      <w:r>
        <w:rPr>
          <w:rFonts w:ascii="Arial" w:hAnsi="Arial" w:cs="Arial"/>
        </w:rPr>
        <w:t xml:space="preserve">timents: </w:t>
      </w:r>
    </w:p>
    <w:p w:rsidR="005A0179" w:rsidRDefault="005A0179" w:rsidP="005A0179">
      <w:pPr>
        <w:pStyle w:val="Prrafodelista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2705"/>
        <w:gridCol w:w="2675"/>
      </w:tblGrid>
      <w:tr w:rsidR="005A0179" w:rsidTr="005A0179">
        <w:tc>
          <w:tcPr>
            <w:tcW w:w="2831" w:type="dxa"/>
          </w:tcPr>
          <w:p w:rsid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Compartiments </w:t>
            </w:r>
          </w:p>
        </w:tc>
        <w:tc>
          <w:tcPr>
            <w:tcW w:w="2831" w:type="dxa"/>
          </w:tcPr>
          <w:p w:rsidR="005A0179" w:rsidRP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vertAlign w:val="subscript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 xml:space="preserve">2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mmHg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32" w:type="dxa"/>
          </w:tcPr>
          <w:p w:rsidR="005A0179" w:rsidRP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Sat</w:t>
            </w:r>
            <w:proofErr w:type="spellEnd"/>
            <w:r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(%)</w:t>
            </w:r>
          </w:p>
        </w:tc>
      </w:tr>
      <w:tr w:rsidR="005A0179" w:rsidTr="005A0179">
        <w:tc>
          <w:tcPr>
            <w:tcW w:w="2831" w:type="dxa"/>
          </w:tcPr>
          <w:p w:rsidR="005A0179" w:rsidRPr="00E516D3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E516D3">
              <w:rPr>
                <w:rFonts w:ascii="Arial" w:hAnsi="Arial" w:cs="Arial"/>
                <w:sz w:val="20"/>
              </w:rPr>
              <w:t>Venes sistèmiques (cava)</w:t>
            </w:r>
          </w:p>
        </w:tc>
        <w:tc>
          <w:tcPr>
            <w:tcW w:w="2831" w:type="dxa"/>
          </w:tcPr>
          <w:p w:rsid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A0179" w:rsidTr="005A0179">
        <w:tc>
          <w:tcPr>
            <w:tcW w:w="2831" w:type="dxa"/>
          </w:tcPr>
          <w:p w:rsidR="005A0179" w:rsidRPr="00E516D3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E516D3">
              <w:rPr>
                <w:rFonts w:ascii="Arial" w:hAnsi="Arial" w:cs="Arial"/>
                <w:sz w:val="20"/>
              </w:rPr>
              <w:t>Espais alveolars</w:t>
            </w:r>
          </w:p>
        </w:tc>
        <w:tc>
          <w:tcPr>
            <w:tcW w:w="2831" w:type="dxa"/>
          </w:tcPr>
          <w:p w:rsid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A0179" w:rsidTr="005A0179">
        <w:tc>
          <w:tcPr>
            <w:tcW w:w="2831" w:type="dxa"/>
          </w:tcPr>
          <w:p w:rsidR="005A0179" w:rsidRPr="00E516D3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 w:rsidRPr="00E516D3">
              <w:rPr>
                <w:rFonts w:ascii="Arial" w:hAnsi="Arial" w:cs="Arial"/>
                <w:sz w:val="20"/>
              </w:rPr>
              <w:t xml:space="preserve">Artèries </w:t>
            </w:r>
            <w:r w:rsidR="00E516D3" w:rsidRPr="00E516D3">
              <w:rPr>
                <w:rFonts w:ascii="Arial" w:hAnsi="Arial" w:cs="Arial"/>
                <w:sz w:val="20"/>
              </w:rPr>
              <w:t>sistèmiques (aorta)</w:t>
            </w:r>
          </w:p>
        </w:tc>
        <w:tc>
          <w:tcPr>
            <w:tcW w:w="2831" w:type="dxa"/>
          </w:tcPr>
          <w:p w:rsid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</w:tcPr>
          <w:p w:rsidR="005A0179" w:rsidRDefault="005A0179" w:rsidP="005A0179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5A0179" w:rsidRPr="00E516D3" w:rsidRDefault="005A0179" w:rsidP="00E516D3">
      <w:pPr>
        <w:jc w:val="both"/>
        <w:rPr>
          <w:rFonts w:ascii="Arial" w:hAnsi="Arial" w:cs="Arial"/>
        </w:rPr>
      </w:pPr>
    </w:p>
    <w:p w:rsidR="005A0179" w:rsidRDefault="005A0179" w:rsidP="005A017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A0179">
        <w:rPr>
          <w:rFonts w:ascii="Arial" w:hAnsi="Arial" w:cs="Arial"/>
        </w:rPr>
        <w:lastRenderedPageBreak/>
        <w:t>La pressió arterial de O</w:t>
      </w:r>
      <w:r w:rsidRPr="00E516D3">
        <w:rPr>
          <w:rFonts w:ascii="Arial" w:hAnsi="Arial" w:cs="Arial"/>
          <w:vertAlign w:val="subscript"/>
        </w:rPr>
        <w:t>2</w:t>
      </w:r>
      <w:r w:rsidRPr="005A0179">
        <w:rPr>
          <w:rFonts w:ascii="Arial" w:hAnsi="Arial" w:cs="Arial"/>
        </w:rPr>
        <w:t xml:space="preserve"> de l’Adrià està determinada només per la pressió alveolar, i és igual que la d’un nen sa, perquè els seus pulmons funcionen corr</w:t>
      </w:r>
      <w:r w:rsidR="00E516D3">
        <w:rPr>
          <w:rFonts w:ascii="Arial" w:hAnsi="Arial" w:cs="Arial"/>
        </w:rPr>
        <w:t>ectament. Digues quina és aques</w:t>
      </w:r>
      <w:r w:rsidRPr="005A0179">
        <w:rPr>
          <w:rFonts w:ascii="Arial" w:hAnsi="Arial" w:cs="Arial"/>
        </w:rPr>
        <w:t>ta pressió arterial, a partir de l’esquema, i raona per què aleshores els teixits de l’Adrià tenien dèficit d’oxigen</w:t>
      </w:r>
      <w:r w:rsidR="00E516D3">
        <w:rPr>
          <w:rFonts w:ascii="Arial" w:hAnsi="Arial" w:cs="Arial"/>
        </w:rPr>
        <w:t>.</w:t>
      </w:r>
    </w:p>
    <w:p w:rsidR="00E516D3" w:rsidRDefault="00E516D3" w:rsidP="00E516D3">
      <w:pPr>
        <w:pStyle w:val="Prrafodelista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E516D3" w:rsidRPr="00E516D3" w:rsidRDefault="00E516D3" w:rsidP="005A017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516D3">
        <w:rPr>
          <w:rFonts w:ascii="Arial" w:hAnsi="Arial" w:cs="Arial"/>
        </w:rPr>
        <w:t xml:space="preserve">Un nen sa, sense anèmia, amb uns 13 g · </w:t>
      </w:r>
      <w:proofErr w:type="spellStart"/>
      <w:r w:rsidRPr="00E516D3">
        <w:rPr>
          <w:rFonts w:ascii="Arial" w:hAnsi="Arial" w:cs="Arial"/>
        </w:rPr>
        <w:t>dL</w:t>
      </w:r>
      <w:proofErr w:type="spellEnd"/>
      <w:r w:rsidRPr="00E516D3">
        <w:rPr>
          <w:rFonts w:ascii="Arial" w:hAnsi="Arial" w:cs="Arial"/>
          <w:vertAlign w:val="superscript"/>
        </w:rPr>
        <w:t>–1</w:t>
      </w:r>
      <w:r w:rsidRPr="00E516D3">
        <w:rPr>
          <w:rFonts w:ascii="Arial" w:hAnsi="Arial" w:cs="Arial"/>
        </w:rPr>
        <w:t xml:space="preserve"> de </w:t>
      </w:r>
      <w:proofErr w:type="spellStart"/>
      <w:r w:rsidRPr="00E516D3">
        <w:rPr>
          <w:rFonts w:ascii="Arial" w:hAnsi="Arial" w:cs="Arial"/>
        </w:rPr>
        <w:t>Hb</w:t>
      </w:r>
      <w:proofErr w:type="spellEnd"/>
      <w:r w:rsidRPr="00E516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516D3">
        <w:rPr>
          <w:rFonts w:ascii="Arial" w:hAnsi="Arial" w:cs="Arial"/>
        </w:rPr>
        <w:t>tindria una capacitat total d’oxigen (CTO</w:t>
      </w:r>
      <w:r w:rsidRPr="00E516D3">
        <w:rPr>
          <w:rFonts w:ascii="Arial" w:hAnsi="Arial" w:cs="Arial"/>
          <w:vertAlign w:val="subscript"/>
        </w:rPr>
        <w:t>2</w:t>
      </w:r>
      <w:r w:rsidRPr="00E516D3">
        <w:rPr>
          <w:rFonts w:ascii="Arial" w:hAnsi="Arial" w:cs="Arial"/>
        </w:rPr>
        <w:t xml:space="preserve">) de 17,7 </w:t>
      </w:r>
      <w:proofErr w:type="spellStart"/>
      <w:r w:rsidRPr="00E516D3">
        <w:rPr>
          <w:rFonts w:ascii="Arial" w:hAnsi="Arial" w:cs="Arial"/>
        </w:rPr>
        <w:t>mL</w:t>
      </w:r>
      <w:proofErr w:type="spellEnd"/>
      <w:r w:rsidRPr="00E516D3">
        <w:rPr>
          <w:rFonts w:ascii="Arial" w:hAnsi="Arial" w:cs="Arial"/>
        </w:rPr>
        <w:t xml:space="preserve"> / 100 </w:t>
      </w:r>
      <w:proofErr w:type="spellStart"/>
      <w:r w:rsidRPr="00E516D3">
        <w:rPr>
          <w:rFonts w:ascii="Arial" w:hAnsi="Arial" w:cs="Arial"/>
        </w:rPr>
        <w:t>mL</w:t>
      </w:r>
      <w:proofErr w:type="spellEnd"/>
      <w:r w:rsidRPr="00E516D3">
        <w:rPr>
          <w:rFonts w:ascii="Arial" w:hAnsi="Arial" w:cs="Arial"/>
        </w:rPr>
        <w:t xml:space="preserve"> de sang arterial, del qual el 97,5 % estaria unit a hemoglobina. Si sabem que hi ha proporció directa entre la CTO</w:t>
      </w:r>
      <w:r w:rsidRPr="00E516D3">
        <w:rPr>
          <w:rFonts w:ascii="Arial" w:hAnsi="Arial" w:cs="Arial"/>
          <w:vertAlign w:val="subscript"/>
        </w:rPr>
        <w:t>2</w:t>
      </w:r>
      <w:r w:rsidRPr="00E516D3">
        <w:rPr>
          <w:rFonts w:ascii="Arial" w:hAnsi="Arial" w:cs="Arial"/>
        </w:rPr>
        <w:t xml:space="preserve"> i la concentració d’hemoglobina, quina CTO</w:t>
      </w:r>
      <w:r w:rsidRPr="00E516D3">
        <w:rPr>
          <w:rFonts w:ascii="Arial" w:hAnsi="Arial" w:cs="Arial"/>
          <w:vertAlign w:val="subscript"/>
        </w:rPr>
        <w:t>2</w:t>
      </w:r>
      <w:r w:rsidRPr="00E516D3">
        <w:rPr>
          <w:rFonts w:ascii="Arial" w:hAnsi="Arial" w:cs="Arial"/>
        </w:rPr>
        <w:t xml:space="preserve"> tindria l’Adrià amb 7 g · </w:t>
      </w:r>
      <w:proofErr w:type="spellStart"/>
      <w:r w:rsidRPr="00E516D3">
        <w:rPr>
          <w:rFonts w:ascii="Arial" w:hAnsi="Arial" w:cs="Arial"/>
        </w:rPr>
        <w:t>dL</w:t>
      </w:r>
      <w:proofErr w:type="spellEnd"/>
      <w:r w:rsidRPr="00E516D3">
        <w:rPr>
          <w:rFonts w:ascii="Arial" w:hAnsi="Arial" w:cs="Arial"/>
          <w:vertAlign w:val="superscript"/>
        </w:rPr>
        <w:t>–1</w:t>
      </w:r>
      <w:r w:rsidRPr="00E516D3">
        <w:rPr>
          <w:rFonts w:ascii="Arial" w:hAnsi="Arial" w:cs="Arial"/>
        </w:rPr>
        <w:t xml:space="preserve"> ? Quina quantitat de O</w:t>
      </w:r>
      <w:r w:rsidRPr="00E516D3">
        <w:rPr>
          <w:rFonts w:ascii="Arial" w:hAnsi="Arial" w:cs="Arial"/>
          <w:vertAlign w:val="subscript"/>
        </w:rPr>
        <w:t>2</w:t>
      </w:r>
      <w:r w:rsidRPr="00E516D3">
        <w:rPr>
          <w:rFonts w:ascii="Arial" w:hAnsi="Arial" w:cs="Arial"/>
        </w:rPr>
        <w:t xml:space="preserve"> estaria unida a l’hemoglobina?</w:t>
      </w:r>
    </w:p>
    <w:sectPr w:rsidR="00E516D3" w:rsidRPr="00E51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74347"/>
    <w:multiLevelType w:val="hybridMultilevel"/>
    <w:tmpl w:val="F256856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26"/>
    <w:rsid w:val="001A6EE1"/>
    <w:rsid w:val="005A0179"/>
    <w:rsid w:val="00697526"/>
    <w:rsid w:val="00E5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0A8B"/>
  <w15:chartTrackingRefBased/>
  <w15:docId w15:val="{3F601178-7266-4815-AD9B-5C7D50A5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017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Tirado Sobrero, Maria</dc:creator>
  <cp:keywords/>
  <dc:description/>
  <cp:lastModifiedBy>Tirado Sobrero, Maria</cp:lastModifiedBy>
  <cp:revision>2</cp:revision>
  <dcterms:created xsi:type="dcterms:W3CDTF">2022-08-28T17:12:00Z</dcterms:created>
  <dcterms:modified xsi:type="dcterms:W3CDTF">2022-08-28T17:25:00Z</dcterms:modified>
</cp:coreProperties>
</file>